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вы все знаете, что попросили убрать название и картинки связанные с ЛГБТ, а также сказали, чтобы главная страница была без намеков, так что полное описание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Русалочке Сун Хуай разбивают голову, и он понимает, что живет в книге. Брат по соседству, которого он всегда обожал, - главный герой Гонг в книге, и он является стандартным шу-пушечным мясом, который не только выходит из брака ради гонга главного героя, но и оказывается в разрушенном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брачный партнер русалочки - Лу Миан, имперский генерал, по слухам, холодный и кровожадный.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Сун Хуай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Решительно держатся подальше от гонга главного героя и не задерживаться перед главным героем и не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сказал адмирал холодно, как будто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был храбрым, схватил уголок его одежды своей маленькой ручкой, слегка приподнял подбородок и мягко сказал: «Гм… Хочешь потрогать мой рыбий хвост?»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Адмирал, истекающий кровью от привлекательности: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замужества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Миан: Тот, кто тебе нравится, не имеет ко мне никакого отношения, если ты не заходишь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Хуай: 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Миан: У нас просто простой брачный контракт, нам нужно оставить место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Хуай: okkk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Миан: Как Дуду может смотреть на других, ему все еще нравится эта собачья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Миан: О чем думает Дуду? Он не разговаривает со мной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Миан: Почему Дуду не приходит сюда, чтобы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http://bllate.org/book/15655/1400476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